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A5056" w14:textId="77777777" w:rsidR="00311C4B" w:rsidRDefault="00207A6B">
      <w:r>
        <w:t>Edit Evidence Summary</w:t>
      </w:r>
    </w:p>
    <w:p w14:paraId="4428E7C1" w14:textId="77777777" w:rsidR="00207A6B" w:rsidRDefault="00207A6B">
      <w:r>
        <w:t>Back to Evidence Summary List</w:t>
      </w:r>
    </w:p>
    <w:p w14:paraId="704FC242" w14:textId="5AA66031" w:rsidR="00207A6B" w:rsidRDefault="00207A6B">
      <w:r>
        <w:rPr>
          <w:noProof/>
          <w:lang w:val="en-US"/>
        </w:rPr>
        <mc:AlternateContent>
          <mc:Choice Requires="wps">
            <w:drawing>
              <wp:anchor distT="45720" distB="45720" distL="114300" distR="114300" simplePos="0" relativeHeight="251659264" behindDoc="0" locked="0" layoutInCell="1" allowOverlap="1" wp14:anchorId="70BE2BCC" wp14:editId="4AA337AE">
                <wp:simplePos x="0" y="0"/>
                <wp:positionH relativeFrom="column">
                  <wp:posOffset>-67310</wp:posOffset>
                </wp:positionH>
                <wp:positionV relativeFrom="paragraph">
                  <wp:posOffset>466725</wp:posOffset>
                </wp:positionV>
                <wp:extent cx="5724525" cy="1123315"/>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23315"/>
                        </a:xfrm>
                        <a:prstGeom prst="rect">
                          <a:avLst/>
                        </a:prstGeom>
                        <a:solidFill>
                          <a:srgbClr val="FFFFFF"/>
                        </a:solidFill>
                        <a:ln w="9525">
                          <a:solidFill>
                            <a:srgbClr val="000000"/>
                          </a:solidFill>
                          <a:miter lim="800000"/>
                          <a:headEnd/>
                          <a:tailEnd/>
                        </a:ln>
                      </wps:spPr>
                      <wps:txbx>
                        <w:txbxContent>
                          <w:p w14:paraId="5E8713A6" w14:textId="01D3AD53" w:rsidR="00207A6B" w:rsidRPr="000F1685" w:rsidRDefault="00207A6B">
                            <w:pPr>
                              <w:rPr>
                                <w:b/>
                                <w:color w:val="000000" w:themeColor="text1"/>
                                <w:sz w:val="32"/>
                                <w:szCs w:val="32"/>
                              </w:rPr>
                            </w:pPr>
                            <w:bookmarkStart w:id="0" w:name="_GoBack"/>
                            <w:r w:rsidRPr="000F1685">
                              <w:rPr>
                                <w:b/>
                                <w:color w:val="000000" w:themeColor="text1"/>
                                <w:sz w:val="32"/>
                                <w:szCs w:val="32"/>
                              </w:rPr>
                              <w:t>D</w:t>
                            </w:r>
                            <w:r w:rsidR="000C0D4A" w:rsidRPr="000F1685">
                              <w:rPr>
                                <w:b/>
                                <w:color w:val="000000" w:themeColor="text1"/>
                                <w:sz w:val="32"/>
                                <w:szCs w:val="32"/>
                              </w:rPr>
                              <w:t>octor, I have</w:t>
                            </w:r>
                            <w:r w:rsidR="00895E6F" w:rsidRPr="000F1685">
                              <w:rPr>
                                <w:b/>
                                <w:color w:val="000000" w:themeColor="text1"/>
                                <w:sz w:val="32"/>
                                <w:szCs w:val="32"/>
                              </w:rPr>
                              <w:t xml:space="preserve"> chronic pain, should I listen to music?</w:t>
                            </w:r>
                          </w:p>
                          <w:p w14:paraId="447E6CB5" w14:textId="3DA23C16" w:rsidR="000C0D4A" w:rsidRPr="000F1685" w:rsidRDefault="00895E6F">
                            <w:pPr>
                              <w:rPr>
                                <w:color w:val="000000" w:themeColor="text1"/>
                              </w:rPr>
                            </w:pPr>
                            <w:r w:rsidRPr="000F1685">
                              <w:rPr>
                                <w:color w:val="000000" w:themeColor="text1"/>
                              </w:rPr>
                              <w:t>Listening to music can help to reduce pain, depression, anxiety, and pain-related disability. IT doesn’t matter what kind of music you listen to or what kind of pain you have. IT might work better if you pick the music yourself rather than someone else picking for you.</w:t>
                            </w:r>
                          </w:p>
                          <w:bookmarkEnd w:i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E2BCC" id="_x0000_t202" coordsize="21600,21600" o:spt="202" path="m0,0l0,21600,21600,21600,21600,0xe">
                <v:stroke joinstyle="miter"/>
                <v:path gradientshapeok="t" o:connecttype="rect"/>
              </v:shapetype>
              <v:shape id="Text Box 2" o:spid="_x0000_s1026" type="#_x0000_t202" style="position:absolute;margin-left:-5.3pt;margin-top:36.75pt;width:450.75pt;height:88.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">
                <v:textbox style="mso-fit-shape-to-text:t">
                  <w:txbxContent>
                    <w:p w14:paraId="5E8713A6" w14:textId="01D3AD53" w:rsidR="00207A6B" w:rsidRPr="000F1685" w:rsidRDefault="00207A6B">
                      <w:pPr>
                        <w:rPr>
                          <w:b/>
                          <w:color w:val="000000" w:themeColor="text1"/>
                          <w:sz w:val="32"/>
                          <w:szCs w:val="32"/>
                        </w:rPr>
                      </w:pPr>
                      <w:bookmarkStart w:id="1" w:name="_GoBack"/>
                      <w:r w:rsidRPr="000F1685">
                        <w:rPr>
                          <w:b/>
                          <w:color w:val="000000" w:themeColor="text1"/>
                          <w:sz w:val="32"/>
                          <w:szCs w:val="32"/>
                        </w:rPr>
                        <w:t>D</w:t>
                      </w:r>
                      <w:r w:rsidR="000C0D4A" w:rsidRPr="000F1685">
                        <w:rPr>
                          <w:b/>
                          <w:color w:val="000000" w:themeColor="text1"/>
                          <w:sz w:val="32"/>
                          <w:szCs w:val="32"/>
                        </w:rPr>
                        <w:t>octor, I have</w:t>
                      </w:r>
                      <w:r w:rsidR="00895E6F" w:rsidRPr="000F1685">
                        <w:rPr>
                          <w:b/>
                          <w:color w:val="000000" w:themeColor="text1"/>
                          <w:sz w:val="32"/>
                          <w:szCs w:val="32"/>
                        </w:rPr>
                        <w:t xml:space="preserve"> chronic pain, should I listen to music?</w:t>
                      </w:r>
                    </w:p>
                    <w:p w14:paraId="447E6CB5" w14:textId="3DA23C16" w:rsidR="000C0D4A" w:rsidRPr="000F1685" w:rsidRDefault="00895E6F">
                      <w:pPr>
                        <w:rPr>
                          <w:color w:val="000000" w:themeColor="text1"/>
                        </w:rPr>
                      </w:pPr>
                      <w:r w:rsidRPr="000F1685">
                        <w:rPr>
                          <w:color w:val="000000" w:themeColor="text1"/>
                        </w:rPr>
                        <w:t>Listening to music can help to reduce pain, depression, anxiety, and pain-related disability. IT doesn’t matter what kind of music you listen to or what kind of pain you have. IT might work better if you pick the music yourself rather than someone else picking for you.</w:t>
                      </w:r>
                    </w:p>
                    <w:bookmarkEnd w:id="1"/>
                  </w:txbxContent>
                </v:textbox>
                <w10:wrap type="square"/>
              </v:shape>
            </w:pict>
          </mc:Fallback>
        </mc:AlternateContent>
      </w:r>
      <w:r>
        <w:t>View full-text PDF   View abstract on PubMed</w:t>
      </w:r>
      <w:r w:rsidR="00910BDC">
        <w:t xml:space="preserve"> How to Write an Evidence Summary</w:t>
      </w:r>
    </w:p>
    <w:p w14:paraId="3EDC5470" w14:textId="77777777" w:rsidR="00207A6B" w:rsidRDefault="00207A6B"/>
    <w:p w14:paraId="25A02D46" w14:textId="3EC56C8C" w:rsidR="00207A6B" w:rsidRPr="000C0D4A" w:rsidRDefault="000C0D4A">
      <w:pPr>
        <w:rPr>
          <w:rFonts w:asciiTheme="majorHAnsi" w:hAnsiTheme="majorHAnsi" w:cstheme="majorHAnsi"/>
          <w:b/>
          <w:sz w:val="32"/>
          <w:szCs w:val="32"/>
        </w:rPr>
      </w:pPr>
      <w:r w:rsidRPr="000C0D4A">
        <w:rPr>
          <w:rFonts w:asciiTheme="majorHAnsi" w:hAnsiTheme="majorHAnsi" w:cstheme="majorHAnsi"/>
          <w:b/>
          <w:sz w:val="32"/>
          <w:szCs w:val="32"/>
        </w:rPr>
        <w:t xml:space="preserve">What’s the evidence? </w:t>
      </w:r>
    </w:p>
    <w:p w14:paraId="1765C5B3" w14:textId="50CAC3D9" w:rsidR="000C0D4A" w:rsidRPr="000C0D4A" w:rsidRDefault="000C0D4A" w:rsidP="00431D6C">
      <w:pPr>
        <w:spacing w:line="276" w:lineRule="auto"/>
        <w:rPr>
          <w:color w:val="000000" w:themeColor="text1"/>
          <w:sz w:val="30"/>
          <w:szCs w:val="30"/>
        </w:rPr>
      </w:pPr>
      <w:r w:rsidRPr="000C0D4A">
        <w:rPr>
          <w:color w:val="000000" w:themeColor="text1"/>
          <w:sz w:val="30"/>
          <w:szCs w:val="30"/>
        </w:rPr>
        <w:t>Understanding the problem</w:t>
      </w:r>
    </w:p>
    <w:p w14:paraId="64C1BE55" w14:textId="77777777" w:rsidR="00A70B40" w:rsidRPr="007D00A2" w:rsidRDefault="00A70B40" w:rsidP="00A70B40">
      <w:pPr>
        <w:spacing w:line="276" w:lineRule="auto"/>
        <w:rPr>
          <w:color w:val="000000" w:themeColor="text1"/>
        </w:rPr>
      </w:pPr>
      <w:bookmarkStart w:id="2" w:name="_Hlk509491250"/>
      <w:r>
        <w:rPr>
          <w:color w:val="000000" w:themeColor="text1"/>
        </w:rPr>
        <w:t xml:space="preserve">There have been some studies suggesting that music can be used to help manage chronic pain. Music is not expensive, not invasive, and most people have access to it. The researchers wanted to find out whether music can really be helpful for managing chronic pain.   </w:t>
      </w:r>
    </w:p>
    <w:bookmarkEnd w:id="2"/>
    <w:p w14:paraId="437EB208" w14:textId="77777777" w:rsidR="00205AAB" w:rsidRDefault="00205AAB"/>
    <w:p w14:paraId="6E80A67C" w14:textId="3DE82CAD" w:rsidR="00205AAB" w:rsidRPr="006406D5" w:rsidRDefault="00205AAB">
      <w:pPr>
        <w:rPr>
          <w:rFonts w:cstheme="minorHAnsi"/>
          <w:color w:val="FFC000" w:themeColor="accent4"/>
          <w:sz w:val="30"/>
          <w:szCs w:val="30"/>
        </w:rPr>
      </w:pPr>
      <w:r w:rsidRPr="006406D5">
        <w:rPr>
          <w:rFonts w:cstheme="minorHAnsi"/>
          <w:sz w:val="30"/>
          <w:szCs w:val="30"/>
        </w:rPr>
        <w:t xml:space="preserve">The </w:t>
      </w:r>
      <w:r w:rsidR="00895E6F" w:rsidRPr="006406D5">
        <w:rPr>
          <w:rFonts w:cstheme="minorHAnsi"/>
          <w:sz w:val="30"/>
          <w:szCs w:val="30"/>
        </w:rPr>
        <w:t>research</w:t>
      </w:r>
    </w:p>
    <w:p w14:paraId="3980C53F" w14:textId="1C1BE1A6" w:rsidR="00A70B40" w:rsidRDefault="00A70B40" w:rsidP="00860753">
      <w:pPr>
        <w:spacing w:line="276" w:lineRule="auto"/>
        <w:rPr>
          <w:b/>
          <w:color w:val="000000" w:themeColor="text1"/>
        </w:rPr>
      </w:pPr>
      <w:bookmarkStart w:id="3" w:name="_Hlk509491263"/>
      <w:r w:rsidRPr="00AA29E1">
        <w:rPr>
          <w:b/>
        </w:rPr>
        <w:t>What kind of study was this?</w:t>
      </w:r>
      <w:r>
        <w:t xml:space="preserve"> This was a systematic review. </w:t>
      </w:r>
      <w:r w:rsidRPr="00AA29E1">
        <w:t>A systematic review summarises the results of available carefully designed healthcare studies and provides a high level of evidence on the effectiveness of healthcare interventions. Judgments may be made about the evidence and inform recommendations for healthcare.</w:t>
      </w:r>
    </w:p>
    <w:bookmarkEnd w:id="3"/>
    <w:p w14:paraId="587FCB1F" w14:textId="285E0208" w:rsidR="00860753" w:rsidRPr="00910BDC" w:rsidRDefault="00860753" w:rsidP="00860753">
      <w:pPr>
        <w:spacing w:line="276" w:lineRule="auto"/>
        <w:rPr>
          <w:color w:val="000000" w:themeColor="text1"/>
        </w:rPr>
      </w:pPr>
      <w:r w:rsidRPr="00910BDC">
        <w:rPr>
          <w:b/>
          <w:color w:val="000000" w:themeColor="text1"/>
        </w:rPr>
        <w:t>Who?</w:t>
      </w:r>
      <w:r w:rsidRPr="00910BDC">
        <w:rPr>
          <w:color w:val="000000" w:themeColor="text1"/>
        </w:rPr>
        <w:t xml:space="preserve"> </w:t>
      </w:r>
      <w:r w:rsidR="00AA59C4">
        <w:rPr>
          <w:color w:val="000000" w:themeColor="text1"/>
        </w:rPr>
        <w:t>This review included f</w:t>
      </w:r>
      <w:r w:rsidR="0069435E">
        <w:rPr>
          <w:color w:val="000000" w:themeColor="text1"/>
        </w:rPr>
        <w:t>ourteen</w:t>
      </w:r>
      <w:r w:rsidRPr="00910BDC">
        <w:rPr>
          <w:color w:val="000000" w:themeColor="text1"/>
        </w:rPr>
        <w:t xml:space="preserve"> studies</w:t>
      </w:r>
      <w:r w:rsidR="00AA59C4">
        <w:rPr>
          <w:color w:val="000000" w:themeColor="text1"/>
        </w:rPr>
        <w:t xml:space="preserve"> (randomized trials)</w:t>
      </w:r>
      <w:r w:rsidRPr="00910BDC">
        <w:rPr>
          <w:color w:val="000000" w:themeColor="text1"/>
        </w:rPr>
        <w:t xml:space="preserve"> i</w:t>
      </w:r>
      <w:r w:rsidR="00AA59C4">
        <w:rPr>
          <w:color w:val="000000" w:themeColor="text1"/>
        </w:rPr>
        <w:t>nvolving</w:t>
      </w:r>
      <w:r w:rsidRPr="00910BDC">
        <w:rPr>
          <w:color w:val="000000" w:themeColor="text1"/>
        </w:rPr>
        <w:t xml:space="preserve"> </w:t>
      </w:r>
      <w:r w:rsidR="009D4734">
        <w:rPr>
          <w:color w:val="000000" w:themeColor="text1"/>
        </w:rPr>
        <w:t>1178</w:t>
      </w:r>
      <w:r w:rsidRPr="00910BDC">
        <w:rPr>
          <w:color w:val="000000" w:themeColor="text1"/>
        </w:rPr>
        <w:t xml:space="preserve"> people who had </w:t>
      </w:r>
      <w:r w:rsidR="0069435E">
        <w:rPr>
          <w:color w:val="000000" w:themeColor="text1"/>
        </w:rPr>
        <w:t xml:space="preserve">chronic pain of any kind (both cancer and non-cancer) lasting for more than 3 months. </w:t>
      </w:r>
    </w:p>
    <w:p w14:paraId="39A049A4" w14:textId="0F45AE1C" w:rsidR="00860753" w:rsidRPr="00910BDC" w:rsidRDefault="00860753" w:rsidP="00860753">
      <w:pPr>
        <w:spacing w:after="240" w:line="276" w:lineRule="auto"/>
        <w:rPr>
          <w:color w:val="000000" w:themeColor="text1"/>
        </w:rPr>
      </w:pPr>
      <w:r w:rsidRPr="00910BDC">
        <w:rPr>
          <w:b/>
          <w:color w:val="000000" w:themeColor="text1"/>
        </w:rPr>
        <w:t>What?</w:t>
      </w:r>
      <w:r w:rsidRPr="00910BDC">
        <w:rPr>
          <w:color w:val="000000" w:themeColor="text1"/>
        </w:rPr>
        <w:t xml:space="preserve"> The studies compared </w:t>
      </w:r>
      <w:r w:rsidR="0069435E">
        <w:rPr>
          <w:color w:val="000000" w:themeColor="text1"/>
        </w:rPr>
        <w:t>music</w:t>
      </w:r>
      <w:r w:rsidRPr="00910BDC">
        <w:rPr>
          <w:color w:val="000000" w:themeColor="text1"/>
        </w:rPr>
        <w:t xml:space="preserve"> with </w:t>
      </w:r>
      <w:r w:rsidR="0069435E">
        <w:rPr>
          <w:color w:val="000000" w:themeColor="text1"/>
        </w:rPr>
        <w:t>usual care or an active control</w:t>
      </w:r>
      <w:r w:rsidRPr="00910BDC">
        <w:rPr>
          <w:color w:val="000000" w:themeColor="text1"/>
        </w:rPr>
        <w:t>.</w:t>
      </w:r>
    </w:p>
    <w:tbl>
      <w:tblPr>
        <w:tblStyle w:val="TableGrid"/>
        <w:tblW w:w="9576" w:type="dxa"/>
        <w:tblLook w:val="04A0" w:firstRow="1" w:lastRow="0" w:firstColumn="1" w:lastColumn="0" w:noHBand="0" w:noVBand="1"/>
      </w:tblPr>
      <w:tblGrid>
        <w:gridCol w:w="5070"/>
        <w:gridCol w:w="850"/>
        <w:gridCol w:w="3656"/>
      </w:tblGrid>
      <w:tr w:rsidR="00910BDC" w:rsidRPr="00910BDC" w14:paraId="3449BECE" w14:textId="77777777" w:rsidTr="006D2CFF">
        <w:tc>
          <w:tcPr>
            <w:tcW w:w="5070" w:type="dxa"/>
            <w:vAlign w:val="center"/>
          </w:tcPr>
          <w:p w14:paraId="788494E8" w14:textId="78DB2713" w:rsidR="003A00E1" w:rsidRPr="00910BDC" w:rsidRDefault="00A70B40" w:rsidP="006D2CFF">
            <w:pPr>
              <w:spacing w:before="120"/>
              <w:jc w:val="center"/>
              <w:rPr>
                <w:b/>
                <w:color w:val="000000" w:themeColor="text1"/>
                <w:sz w:val="21"/>
                <w:szCs w:val="21"/>
              </w:rPr>
            </w:pPr>
            <w:r>
              <w:rPr>
                <w:b/>
                <w:color w:val="000000" w:themeColor="text1"/>
                <w:sz w:val="21"/>
                <w:szCs w:val="21"/>
              </w:rPr>
              <w:t>Intervention: Music</w:t>
            </w:r>
          </w:p>
        </w:tc>
        <w:tc>
          <w:tcPr>
            <w:tcW w:w="850" w:type="dxa"/>
            <w:vAlign w:val="center"/>
          </w:tcPr>
          <w:p w14:paraId="11517647" w14:textId="77777777" w:rsidR="003A00E1" w:rsidRPr="00910BDC" w:rsidRDefault="003A00E1" w:rsidP="006D2CFF">
            <w:pPr>
              <w:spacing w:before="120"/>
              <w:jc w:val="center"/>
              <w:rPr>
                <w:b/>
                <w:color w:val="000000" w:themeColor="text1"/>
                <w:sz w:val="21"/>
                <w:szCs w:val="21"/>
              </w:rPr>
            </w:pPr>
            <w:r w:rsidRPr="00910BDC">
              <w:rPr>
                <w:b/>
                <w:color w:val="000000" w:themeColor="text1"/>
                <w:sz w:val="21"/>
                <w:szCs w:val="21"/>
              </w:rPr>
              <w:t>vs</w:t>
            </w:r>
          </w:p>
        </w:tc>
        <w:tc>
          <w:tcPr>
            <w:tcW w:w="3656" w:type="dxa"/>
            <w:vAlign w:val="center"/>
          </w:tcPr>
          <w:p w14:paraId="7D334E24" w14:textId="4728C50A" w:rsidR="003A00E1" w:rsidRPr="00910BDC" w:rsidRDefault="00A70B40" w:rsidP="006D2CFF">
            <w:pPr>
              <w:spacing w:before="120"/>
              <w:jc w:val="center"/>
              <w:rPr>
                <w:b/>
                <w:color w:val="000000" w:themeColor="text1"/>
                <w:sz w:val="21"/>
                <w:szCs w:val="21"/>
              </w:rPr>
            </w:pPr>
            <w:r>
              <w:rPr>
                <w:b/>
                <w:color w:val="000000" w:themeColor="text1"/>
                <w:sz w:val="21"/>
                <w:szCs w:val="21"/>
              </w:rPr>
              <w:t>Comparison: No music</w:t>
            </w:r>
          </w:p>
        </w:tc>
      </w:tr>
      <w:tr w:rsidR="00910BDC" w:rsidRPr="00910BDC" w14:paraId="4ED20202" w14:textId="77777777" w:rsidTr="006D2CFF">
        <w:tc>
          <w:tcPr>
            <w:tcW w:w="5070" w:type="dxa"/>
          </w:tcPr>
          <w:p w14:paraId="50DAC7AE" w14:textId="77777777" w:rsidR="003A00E1" w:rsidRDefault="0069435E" w:rsidP="005D725F">
            <w:pPr>
              <w:rPr>
                <w:color w:val="000000" w:themeColor="text1"/>
                <w:sz w:val="21"/>
                <w:szCs w:val="21"/>
              </w:rPr>
            </w:pPr>
            <w:r w:rsidRPr="0069435E">
              <w:rPr>
                <w:color w:val="000000" w:themeColor="text1"/>
                <w:sz w:val="21"/>
                <w:szCs w:val="21"/>
              </w:rPr>
              <w:t xml:space="preserve">Music interventions: Listening to music. Most of the time it was listening to recorded tapes. In two studies it was live music. In one study the music intervention was singing in a choir. </w:t>
            </w:r>
          </w:p>
          <w:p w14:paraId="34A7F102" w14:textId="04F0E25E" w:rsidR="0069435E" w:rsidRPr="0069435E" w:rsidRDefault="0069435E" w:rsidP="005D725F">
            <w:pPr>
              <w:rPr>
                <w:color w:val="000000" w:themeColor="text1"/>
                <w:sz w:val="21"/>
                <w:szCs w:val="21"/>
              </w:rPr>
            </w:pPr>
            <w:r>
              <w:rPr>
                <w:color w:val="000000" w:themeColor="text1"/>
                <w:sz w:val="21"/>
                <w:szCs w:val="21"/>
              </w:rPr>
              <w:t xml:space="preserve">The </w:t>
            </w:r>
            <w:r w:rsidR="00C2744F">
              <w:rPr>
                <w:color w:val="000000" w:themeColor="text1"/>
                <w:sz w:val="21"/>
                <w:szCs w:val="21"/>
              </w:rPr>
              <w:t>timing</w:t>
            </w:r>
            <w:r>
              <w:rPr>
                <w:color w:val="000000" w:themeColor="text1"/>
                <w:sz w:val="21"/>
                <w:szCs w:val="21"/>
              </w:rPr>
              <w:t xml:space="preserve"> of the music was any time </w:t>
            </w:r>
            <w:r w:rsidR="00C2744F">
              <w:rPr>
                <w:color w:val="000000" w:themeColor="text1"/>
                <w:sz w:val="21"/>
                <w:szCs w:val="21"/>
              </w:rPr>
              <w:t>during the</w:t>
            </w:r>
            <w:r>
              <w:rPr>
                <w:color w:val="000000" w:themeColor="text1"/>
                <w:sz w:val="21"/>
                <w:szCs w:val="21"/>
              </w:rPr>
              <w:t xml:space="preserve"> day, including when patients felt </w:t>
            </w:r>
            <w:r w:rsidR="00C2744F">
              <w:rPr>
                <w:color w:val="000000" w:themeColor="text1"/>
                <w:sz w:val="21"/>
                <w:szCs w:val="21"/>
              </w:rPr>
              <w:t xml:space="preserve">their pain was higher than usual. </w:t>
            </w:r>
          </w:p>
        </w:tc>
        <w:tc>
          <w:tcPr>
            <w:tcW w:w="850" w:type="dxa"/>
          </w:tcPr>
          <w:p w14:paraId="29D5B152" w14:textId="77777777" w:rsidR="003A00E1" w:rsidRPr="00910BDC" w:rsidRDefault="003A00E1" w:rsidP="006D2CFF">
            <w:pPr>
              <w:rPr>
                <w:color w:val="000000" w:themeColor="text1"/>
                <w:sz w:val="21"/>
                <w:szCs w:val="21"/>
              </w:rPr>
            </w:pPr>
          </w:p>
        </w:tc>
        <w:tc>
          <w:tcPr>
            <w:tcW w:w="3656" w:type="dxa"/>
          </w:tcPr>
          <w:p w14:paraId="75B39AC3" w14:textId="343B3DD8" w:rsidR="003A00E1" w:rsidRDefault="0069435E" w:rsidP="006D2CFF">
            <w:pPr>
              <w:spacing w:line="276" w:lineRule="auto"/>
              <w:rPr>
                <w:color w:val="000000" w:themeColor="text1"/>
                <w:sz w:val="21"/>
                <w:szCs w:val="21"/>
              </w:rPr>
            </w:pPr>
            <w:r>
              <w:rPr>
                <w:color w:val="000000" w:themeColor="text1"/>
                <w:sz w:val="21"/>
                <w:szCs w:val="21"/>
              </w:rPr>
              <w:t>Usual care: In most studies</w:t>
            </w:r>
            <w:r w:rsidR="00C2744F">
              <w:rPr>
                <w:color w:val="000000" w:themeColor="text1"/>
                <w:sz w:val="21"/>
                <w:szCs w:val="21"/>
              </w:rPr>
              <w:t xml:space="preserve"> (12/14)</w:t>
            </w:r>
            <w:r>
              <w:rPr>
                <w:color w:val="000000" w:themeColor="text1"/>
                <w:sz w:val="21"/>
                <w:szCs w:val="21"/>
              </w:rPr>
              <w:t xml:space="preserve"> the intervention was “no music”, so patients received the care they would normally receive, with no music added. </w:t>
            </w:r>
          </w:p>
          <w:p w14:paraId="05349F5A" w14:textId="0D04D271" w:rsidR="0069435E" w:rsidRPr="00910BDC" w:rsidRDefault="0069435E" w:rsidP="006D2CFF">
            <w:pPr>
              <w:spacing w:line="276" w:lineRule="auto"/>
              <w:rPr>
                <w:color w:val="000000" w:themeColor="text1"/>
                <w:sz w:val="21"/>
                <w:szCs w:val="21"/>
              </w:rPr>
            </w:pPr>
            <w:r>
              <w:rPr>
                <w:color w:val="000000" w:themeColor="text1"/>
                <w:sz w:val="21"/>
                <w:szCs w:val="21"/>
              </w:rPr>
              <w:t xml:space="preserve">In one study, they compared music to “conversation”, and in another, to “tactile touch”. </w:t>
            </w:r>
          </w:p>
        </w:tc>
      </w:tr>
    </w:tbl>
    <w:p w14:paraId="53C29103" w14:textId="6A420325" w:rsidR="00886ACF" w:rsidRDefault="00886ACF">
      <w:pPr>
        <w:rPr>
          <w:i/>
        </w:rPr>
      </w:pPr>
    </w:p>
    <w:p w14:paraId="10403474" w14:textId="77777777" w:rsidR="00205AAB" w:rsidRPr="006406D5" w:rsidRDefault="00205AAB">
      <w:pPr>
        <w:rPr>
          <w:rFonts w:cstheme="minorHAnsi"/>
          <w:sz w:val="30"/>
          <w:szCs w:val="30"/>
        </w:rPr>
      </w:pPr>
      <w:r w:rsidRPr="006406D5">
        <w:rPr>
          <w:rFonts w:cstheme="minorHAnsi"/>
          <w:sz w:val="30"/>
          <w:szCs w:val="30"/>
        </w:rPr>
        <w:lastRenderedPageBreak/>
        <w:t>What the researchers found</w:t>
      </w:r>
    </w:p>
    <w:p w14:paraId="6E6ACA5E" w14:textId="77777777" w:rsidR="00A70B40" w:rsidRPr="00AC4DA2" w:rsidRDefault="000475FA" w:rsidP="00A70B40">
      <w:pPr>
        <w:spacing w:line="276" w:lineRule="auto"/>
        <w:rPr>
          <w:color w:val="000000" w:themeColor="text1"/>
        </w:rPr>
      </w:pPr>
      <w:bookmarkStart w:id="4" w:name="_Hlk509491281"/>
      <w:r w:rsidRPr="00A70B40">
        <w:rPr>
          <w:color w:val="000000" w:themeColor="text1"/>
        </w:rPr>
        <w:t>The reviewers</w:t>
      </w:r>
      <w:r>
        <w:rPr>
          <w:b/>
          <w:color w:val="000000" w:themeColor="text1"/>
        </w:rPr>
        <w:t xml:space="preserve"> </w:t>
      </w:r>
      <w:r w:rsidR="00A70B40" w:rsidRPr="00AC4DA2">
        <w:rPr>
          <w:color w:val="000000" w:themeColor="text1"/>
        </w:rPr>
        <w:t>measured patients’ pain, depression, and anxiety.</w:t>
      </w:r>
      <w:r w:rsidR="00A70B40">
        <w:rPr>
          <w:color w:val="000000" w:themeColor="text1"/>
        </w:rPr>
        <w:t xml:space="preserve"> They found that:</w:t>
      </w:r>
    </w:p>
    <w:p w14:paraId="11E26ED7" w14:textId="77777777" w:rsidR="00A70B40" w:rsidRPr="00AC4DA2" w:rsidRDefault="00A70B40" w:rsidP="00A70B40">
      <w:pPr>
        <w:pStyle w:val="ListParagraph"/>
        <w:numPr>
          <w:ilvl w:val="0"/>
          <w:numId w:val="2"/>
        </w:numPr>
        <w:spacing w:line="276" w:lineRule="auto"/>
        <w:rPr>
          <w:color w:val="000000" w:themeColor="text1"/>
        </w:rPr>
      </w:pPr>
      <w:r w:rsidRPr="00AC4DA2">
        <w:rPr>
          <w:color w:val="000000" w:themeColor="text1"/>
        </w:rPr>
        <w:t>Patients who listened to music had lower pain scores/less pain than patients who didn’t listen to music.</w:t>
      </w:r>
    </w:p>
    <w:p w14:paraId="36C2D6CB" w14:textId="77777777" w:rsidR="00A70B40" w:rsidRPr="00AC4DA2" w:rsidRDefault="00A70B40" w:rsidP="00A70B40">
      <w:pPr>
        <w:pStyle w:val="ListParagraph"/>
        <w:numPr>
          <w:ilvl w:val="0"/>
          <w:numId w:val="2"/>
        </w:numPr>
        <w:spacing w:line="276" w:lineRule="auto"/>
        <w:rPr>
          <w:color w:val="000000" w:themeColor="text1"/>
        </w:rPr>
      </w:pPr>
      <w:r w:rsidRPr="00AC4DA2">
        <w:rPr>
          <w:color w:val="000000" w:themeColor="text1"/>
        </w:rPr>
        <w:t xml:space="preserve">Patients who listened to music also had lower scores for anxiety and depression than patients who didn’t listen to music. </w:t>
      </w:r>
    </w:p>
    <w:p w14:paraId="6BB6F56C" w14:textId="77777777" w:rsidR="00A70B40" w:rsidRPr="00AC4DA2" w:rsidRDefault="00A70B40" w:rsidP="00A70B40">
      <w:pPr>
        <w:pStyle w:val="ListParagraph"/>
        <w:numPr>
          <w:ilvl w:val="0"/>
          <w:numId w:val="2"/>
        </w:numPr>
        <w:spacing w:line="276" w:lineRule="auto"/>
        <w:rPr>
          <w:color w:val="000000" w:themeColor="text1"/>
        </w:rPr>
      </w:pPr>
      <w:r w:rsidRPr="00AC4DA2">
        <w:rPr>
          <w:color w:val="000000" w:themeColor="text1"/>
        </w:rPr>
        <w:t xml:space="preserve">Patients who chose the music themselves had lower pain scores/less pain than patients who had the music chosen for them. </w:t>
      </w:r>
    </w:p>
    <w:bookmarkEnd w:id="4"/>
    <w:p w14:paraId="52F156CB" w14:textId="6821A95A" w:rsidR="002A4E08" w:rsidRDefault="002A4E08" w:rsidP="00A70B40">
      <w:pPr>
        <w:spacing w:line="276" w:lineRule="auto"/>
        <w:rPr>
          <w:b/>
        </w:rPr>
      </w:pPr>
    </w:p>
    <w:p w14:paraId="7B7C46AF" w14:textId="77777777" w:rsidR="00910BDC" w:rsidRPr="006406D5" w:rsidRDefault="00205AAB" w:rsidP="001157F9">
      <w:pPr>
        <w:pStyle w:val="Heading2"/>
        <w:spacing w:after="120" w:line="240" w:lineRule="auto"/>
        <w:rPr>
          <w:rFonts w:asciiTheme="minorHAnsi" w:hAnsiTheme="minorHAnsi" w:cstheme="minorHAnsi"/>
          <w:color w:val="000000" w:themeColor="text1"/>
        </w:rPr>
      </w:pPr>
      <w:r w:rsidRPr="006406D5">
        <w:rPr>
          <w:rFonts w:asciiTheme="minorHAnsi" w:hAnsiTheme="minorHAnsi" w:cstheme="minorHAnsi"/>
          <w:color w:val="000000" w:themeColor="text1"/>
        </w:rPr>
        <w:t>Summary of findings</w:t>
      </w:r>
      <w:r w:rsidR="001157F9" w:rsidRPr="006406D5">
        <w:rPr>
          <w:rFonts w:asciiTheme="minorHAnsi" w:hAnsiTheme="minorHAnsi" w:cstheme="minorHAnsi"/>
          <w:color w:val="000000" w:themeColor="text1"/>
        </w:rPr>
        <w:t xml:space="preserve">: </w:t>
      </w:r>
    </w:p>
    <w:p w14:paraId="227876A2" w14:textId="42A7A131" w:rsidR="001157F9" w:rsidRPr="00F00D58" w:rsidRDefault="005675C6" w:rsidP="001157F9">
      <w:pPr>
        <w:pStyle w:val="Heading2"/>
        <w:spacing w:after="12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Music versus usual care</w:t>
      </w:r>
      <w:r w:rsidR="001157F9" w:rsidRPr="00F00D58">
        <w:rPr>
          <w:rFonts w:asciiTheme="minorHAnsi" w:hAnsiTheme="minorHAnsi" w:cstheme="minorHAnsi"/>
          <w:color w:val="000000" w:themeColor="text1"/>
          <w:sz w:val="22"/>
        </w:rPr>
        <w:t xml:space="preserve"> in people who have </w:t>
      </w:r>
      <w:r>
        <w:rPr>
          <w:rFonts w:asciiTheme="minorHAnsi" w:hAnsiTheme="minorHAnsi" w:cstheme="minorHAnsi"/>
          <w:color w:val="000000" w:themeColor="text1"/>
          <w:sz w:val="22"/>
        </w:rPr>
        <w:t>chronic pain</w:t>
      </w:r>
    </w:p>
    <w:tbl>
      <w:tblPr>
        <w:tblStyle w:val="TableGrid"/>
        <w:tblW w:w="9872" w:type="dxa"/>
        <w:tblLook w:val="04A0" w:firstRow="1" w:lastRow="0" w:firstColumn="1" w:lastColumn="0" w:noHBand="0" w:noVBand="1"/>
      </w:tblPr>
      <w:tblGrid>
        <w:gridCol w:w="2361"/>
        <w:gridCol w:w="2860"/>
        <w:gridCol w:w="4651"/>
      </w:tblGrid>
      <w:tr w:rsidR="00ED5EA6" w:rsidRPr="00910BDC" w14:paraId="1CF8FE1E" w14:textId="77777777" w:rsidTr="005675C6">
        <w:trPr>
          <w:trHeight w:val="1325"/>
        </w:trPr>
        <w:tc>
          <w:tcPr>
            <w:tcW w:w="2361" w:type="dxa"/>
            <w:shd w:val="clear" w:color="auto" w:fill="F7CAAC" w:themeFill="accent2" w:themeFillTint="66"/>
            <w:vAlign w:val="center"/>
          </w:tcPr>
          <w:p w14:paraId="5AA865AF" w14:textId="77777777" w:rsidR="00ED5EA6" w:rsidRPr="00910BDC" w:rsidRDefault="00ED5EA6" w:rsidP="002E1673">
            <w:pPr>
              <w:jc w:val="center"/>
              <w:rPr>
                <w:b/>
                <w:color w:val="000000" w:themeColor="text1"/>
                <w:szCs w:val="20"/>
              </w:rPr>
            </w:pPr>
            <w:r w:rsidRPr="00910BDC">
              <w:rPr>
                <w:b/>
                <w:color w:val="000000" w:themeColor="text1"/>
                <w:szCs w:val="20"/>
              </w:rPr>
              <w:t>Outcomes at &lt;follow-up&gt;</w:t>
            </w:r>
          </w:p>
        </w:tc>
        <w:tc>
          <w:tcPr>
            <w:tcW w:w="2860" w:type="dxa"/>
            <w:shd w:val="clear" w:color="auto" w:fill="F7CAAC" w:themeFill="accent2" w:themeFillTint="66"/>
          </w:tcPr>
          <w:p w14:paraId="2524976D" w14:textId="5B298E01" w:rsidR="00ED5EA6" w:rsidRPr="00910BDC" w:rsidRDefault="00ED5EA6" w:rsidP="002E1673">
            <w:pPr>
              <w:jc w:val="center"/>
              <w:rPr>
                <w:b/>
                <w:color w:val="000000" w:themeColor="text1"/>
                <w:szCs w:val="20"/>
              </w:rPr>
            </w:pPr>
            <w:r>
              <w:rPr>
                <w:b/>
                <w:color w:val="000000" w:themeColor="text1"/>
                <w:szCs w:val="20"/>
              </w:rPr>
              <w:t>Standardized mean difference</w:t>
            </w:r>
            <w:r w:rsidR="005675C6">
              <w:rPr>
                <w:b/>
                <w:color w:val="000000" w:themeColor="text1"/>
                <w:szCs w:val="20"/>
              </w:rPr>
              <w:t xml:space="preserve"> (SMD)</w:t>
            </w:r>
            <w:r>
              <w:rPr>
                <w:b/>
                <w:color w:val="000000" w:themeColor="text1"/>
                <w:szCs w:val="20"/>
              </w:rPr>
              <w:t xml:space="preserve"> and 95% confidence interval</w:t>
            </w:r>
          </w:p>
        </w:tc>
        <w:tc>
          <w:tcPr>
            <w:tcW w:w="4651" w:type="dxa"/>
            <w:shd w:val="clear" w:color="auto" w:fill="F7CAAC" w:themeFill="accent2" w:themeFillTint="66"/>
          </w:tcPr>
          <w:p w14:paraId="07D1F6E2" w14:textId="6F4DBD0D" w:rsidR="00ED5EA6" w:rsidRPr="00910BDC" w:rsidRDefault="005675C6" w:rsidP="002E1673">
            <w:pPr>
              <w:jc w:val="center"/>
              <w:rPr>
                <w:b/>
                <w:color w:val="000000" w:themeColor="text1"/>
                <w:szCs w:val="20"/>
              </w:rPr>
            </w:pPr>
            <w:r>
              <w:rPr>
                <w:b/>
                <w:color w:val="000000" w:themeColor="text1"/>
                <w:szCs w:val="20"/>
              </w:rPr>
              <w:t>What does it mean?</w:t>
            </w:r>
          </w:p>
        </w:tc>
      </w:tr>
      <w:tr w:rsidR="00ED5EA6" w:rsidRPr="00910BDC" w14:paraId="47D924DF" w14:textId="77777777" w:rsidTr="005675C6">
        <w:trPr>
          <w:trHeight w:val="898"/>
        </w:trPr>
        <w:tc>
          <w:tcPr>
            <w:tcW w:w="2361" w:type="dxa"/>
          </w:tcPr>
          <w:p w14:paraId="1739795A" w14:textId="48156E11" w:rsidR="00ED5EA6" w:rsidRPr="00910BDC" w:rsidRDefault="005675C6" w:rsidP="002E1673">
            <w:pPr>
              <w:rPr>
                <w:color w:val="000000" w:themeColor="text1"/>
                <w:szCs w:val="20"/>
              </w:rPr>
            </w:pPr>
            <w:r w:rsidRPr="0009651E">
              <w:t>Chronic pain</w:t>
            </w:r>
          </w:p>
        </w:tc>
        <w:tc>
          <w:tcPr>
            <w:tcW w:w="2860" w:type="dxa"/>
          </w:tcPr>
          <w:p w14:paraId="490650D4" w14:textId="763B7831" w:rsidR="00ED5EA6" w:rsidRPr="00910BDC" w:rsidRDefault="005675C6" w:rsidP="002E1673">
            <w:pPr>
              <w:rPr>
                <w:color w:val="000000" w:themeColor="text1"/>
                <w:szCs w:val="20"/>
              </w:rPr>
            </w:pPr>
            <w:r w:rsidRPr="0009651E">
              <w:t>-0.60 (-0.72, -0.48)</w:t>
            </w:r>
          </w:p>
        </w:tc>
        <w:tc>
          <w:tcPr>
            <w:tcW w:w="4651" w:type="dxa"/>
          </w:tcPr>
          <w:p w14:paraId="1257A81D" w14:textId="2C242C59" w:rsidR="00ED5EA6" w:rsidRPr="00910BDC" w:rsidRDefault="005675C6" w:rsidP="002E1673">
            <w:pPr>
              <w:rPr>
                <w:color w:val="000000" w:themeColor="text1"/>
                <w:szCs w:val="20"/>
              </w:rPr>
            </w:pPr>
            <w:r>
              <w:rPr>
                <w:color w:val="000000" w:themeColor="text1"/>
                <w:szCs w:val="20"/>
              </w:rPr>
              <w:t>Patients who listened to music had less pain than patients who didn’t listen to music</w:t>
            </w:r>
          </w:p>
        </w:tc>
      </w:tr>
      <w:tr w:rsidR="00ED5EA6" w:rsidRPr="00910BDC" w14:paraId="27803163" w14:textId="77777777" w:rsidTr="005675C6">
        <w:trPr>
          <w:trHeight w:val="913"/>
        </w:trPr>
        <w:tc>
          <w:tcPr>
            <w:tcW w:w="2361" w:type="dxa"/>
          </w:tcPr>
          <w:p w14:paraId="70684BA9" w14:textId="0C816327" w:rsidR="00ED5EA6" w:rsidRPr="00910BDC" w:rsidRDefault="005675C6" w:rsidP="002E1673">
            <w:pPr>
              <w:rPr>
                <w:color w:val="000000" w:themeColor="text1"/>
                <w:szCs w:val="20"/>
              </w:rPr>
            </w:pPr>
            <w:r w:rsidRPr="0009651E">
              <w:t>Anxiety</w:t>
            </w:r>
          </w:p>
        </w:tc>
        <w:tc>
          <w:tcPr>
            <w:tcW w:w="2860" w:type="dxa"/>
          </w:tcPr>
          <w:p w14:paraId="5D98756E" w14:textId="38F4B3A1" w:rsidR="00ED5EA6" w:rsidRPr="00910BDC" w:rsidRDefault="005675C6" w:rsidP="002E1673">
            <w:pPr>
              <w:rPr>
                <w:color w:val="000000" w:themeColor="text1"/>
                <w:szCs w:val="20"/>
              </w:rPr>
            </w:pPr>
            <w:r w:rsidRPr="0009651E">
              <w:t>-0.55 (-0.80, -0.30)</w:t>
            </w:r>
          </w:p>
        </w:tc>
        <w:tc>
          <w:tcPr>
            <w:tcW w:w="4651" w:type="dxa"/>
          </w:tcPr>
          <w:p w14:paraId="3CDDE3FD" w14:textId="1E03FD49" w:rsidR="00ED5EA6" w:rsidRPr="00910BDC" w:rsidRDefault="005675C6" w:rsidP="002E1673">
            <w:pPr>
              <w:rPr>
                <w:color w:val="000000" w:themeColor="text1"/>
                <w:szCs w:val="20"/>
              </w:rPr>
            </w:pPr>
            <w:r>
              <w:rPr>
                <w:color w:val="000000" w:themeColor="text1"/>
                <w:szCs w:val="20"/>
              </w:rPr>
              <w:t>Patients who listened to music had less anxiety than patients who didn’t listen to music</w:t>
            </w:r>
          </w:p>
        </w:tc>
      </w:tr>
      <w:tr w:rsidR="005675C6" w:rsidRPr="00910BDC" w14:paraId="7B53FE60" w14:textId="77777777" w:rsidTr="005675C6">
        <w:trPr>
          <w:trHeight w:val="898"/>
        </w:trPr>
        <w:tc>
          <w:tcPr>
            <w:tcW w:w="2361" w:type="dxa"/>
          </w:tcPr>
          <w:p w14:paraId="274526B8" w14:textId="45208BAC" w:rsidR="005675C6" w:rsidRPr="00910BDC" w:rsidRDefault="005675C6" w:rsidP="002E1673">
            <w:pPr>
              <w:rPr>
                <w:color w:val="000000" w:themeColor="text1"/>
                <w:szCs w:val="20"/>
              </w:rPr>
            </w:pPr>
            <w:r>
              <w:rPr>
                <w:color w:val="000000" w:themeColor="text1"/>
                <w:szCs w:val="20"/>
              </w:rPr>
              <w:t>Depression</w:t>
            </w:r>
          </w:p>
        </w:tc>
        <w:tc>
          <w:tcPr>
            <w:tcW w:w="2860" w:type="dxa"/>
          </w:tcPr>
          <w:p w14:paraId="22EB2C39" w14:textId="74452FEB" w:rsidR="005675C6" w:rsidRPr="00910BDC" w:rsidRDefault="005675C6" w:rsidP="002E1673">
            <w:pPr>
              <w:rPr>
                <w:color w:val="000000" w:themeColor="text1"/>
                <w:szCs w:val="20"/>
              </w:rPr>
            </w:pPr>
            <w:r w:rsidRPr="0009651E">
              <w:t>-0.82 (-1.08, -0.56)</w:t>
            </w:r>
          </w:p>
        </w:tc>
        <w:tc>
          <w:tcPr>
            <w:tcW w:w="4651" w:type="dxa"/>
          </w:tcPr>
          <w:p w14:paraId="330C5635" w14:textId="30D5F51D" w:rsidR="005675C6" w:rsidRPr="00910BDC" w:rsidRDefault="005675C6" w:rsidP="002E1673">
            <w:pPr>
              <w:rPr>
                <w:color w:val="000000" w:themeColor="text1"/>
                <w:szCs w:val="20"/>
              </w:rPr>
            </w:pPr>
            <w:r>
              <w:rPr>
                <w:color w:val="000000" w:themeColor="text1"/>
                <w:szCs w:val="20"/>
              </w:rPr>
              <w:t>Patients who listened to music had less depression than patients who didn’t listen to music</w:t>
            </w:r>
          </w:p>
        </w:tc>
      </w:tr>
    </w:tbl>
    <w:p w14:paraId="34281F46" w14:textId="10BE3892" w:rsidR="00ED5EA6" w:rsidRDefault="00ED5EA6" w:rsidP="00C031CF">
      <w:pPr>
        <w:spacing w:after="0"/>
        <w:rPr>
          <w:lang w:val="en-US"/>
        </w:rPr>
      </w:pPr>
      <w:r>
        <w:rPr>
          <w:lang w:val="en-US"/>
        </w:rPr>
        <w:t xml:space="preserve">The SMD measures the difference between the music group and the no-music group. A SMD of 0 means there is no difference. A negative SMD means that people did better with music. A positive SMD means that people did better without music. </w:t>
      </w:r>
      <w:r w:rsidRPr="005675C6">
        <w:rPr>
          <w:lang w:val="en-US"/>
        </w:rPr>
        <w:t xml:space="preserve">The 95% confidence interval represents the possible range of the true value. </w:t>
      </w:r>
      <w:r>
        <w:rPr>
          <w:lang w:val="en-US"/>
        </w:rPr>
        <w:t>If the confidence interval does not include zero, we are sure that the effect did not happen by chance. If it does include zero, then the effect may be due to chance.</w:t>
      </w:r>
    </w:p>
    <w:p w14:paraId="0334298E" w14:textId="77777777" w:rsidR="0009651E" w:rsidRPr="0009651E" w:rsidRDefault="0009651E" w:rsidP="00C031CF">
      <w:pPr>
        <w:spacing w:after="0"/>
        <w:rPr>
          <w:lang w:val="en-US"/>
        </w:rPr>
      </w:pPr>
    </w:p>
    <w:p w14:paraId="672EBA32" w14:textId="06AA0F52" w:rsidR="00C031CF" w:rsidRDefault="00C031CF" w:rsidP="00C031CF">
      <w:pPr>
        <w:spacing w:after="0"/>
        <w:rPr>
          <w:b/>
          <w:color w:val="FF0000"/>
          <w:lang w:val="en-US"/>
        </w:rPr>
      </w:pPr>
    </w:p>
    <w:p w14:paraId="451A79A1" w14:textId="77777777" w:rsidR="00C031CF" w:rsidRPr="001157F9" w:rsidRDefault="00C031CF" w:rsidP="00C031CF">
      <w:pPr>
        <w:spacing w:after="0"/>
        <w:rPr>
          <w:b/>
          <w:color w:val="FF0000"/>
          <w:lang w:val="en-US"/>
        </w:rPr>
      </w:pPr>
    </w:p>
    <w:p w14:paraId="1B91EBCF" w14:textId="332D2355" w:rsidR="00F45D68" w:rsidRPr="005675C6" w:rsidRDefault="00205AAB" w:rsidP="005675C6">
      <w:pPr>
        <w:spacing w:after="0"/>
        <w:rPr>
          <w:rFonts w:asciiTheme="majorHAnsi" w:hAnsiTheme="majorHAnsi" w:cstheme="majorHAnsi"/>
          <w:b/>
          <w:sz w:val="30"/>
          <w:szCs w:val="30"/>
        </w:rPr>
      </w:pPr>
      <w:r w:rsidRPr="002A4E08">
        <w:rPr>
          <w:rFonts w:asciiTheme="majorHAnsi" w:hAnsiTheme="majorHAnsi" w:cstheme="majorHAnsi"/>
          <w:b/>
          <w:sz w:val="30"/>
          <w:szCs w:val="30"/>
        </w:rPr>
        <w:t>Citation</w:t>
      </w:r>
    </w:p>
    <w:sectPr w:rsidR="00F45D68" w:rsidRPr="005675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0747A"/>
    <w:multiLevelType w:val="hybridMultilevel"/>
    <w:tmpl w:val="C48A820C"/>
    <w:lvl w:ilvl="0" w:tplc="05BE9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F7C58"/>
    <w:multiLevelType w:val="hybridMultilevel"/>
    <w:tmpl w:val="3A0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6B"/>
    <w:rsid w:val="000475FA"/>
    <w:rsid w:val="00054A1A"/>
    <w:rsid w:val="00090190"/>
    <w:rsid w:val="0009274C"/>
    <w:rsid w:val="0009651E"/>
    <w:rsid w:val="000C0D4A"/>
    <w:rsid w:val="000D2AE4"/>
    <w:rsid w:val="000F1685"/>
    <w:rsid w:val="001157F9"/>
    <w:rsid w:val="001878C6"/>
    <w:rsid w:val="001D0DA7"/>
    <w:rsid w:val="00205AAB"/>
    <w:rsid w:val="00207A6B"/>
    <w:rsid w:val="002A4E08"/>
    <w:rsid w:val="002E1673"/>
    <w:rsid w:val="00311C4B"/>
    <w:rsid w:val="003A00E1"/>
    <w:rsid w:val="003A5C13"/>
    <w:rsid w:val="003B3601"/>
    <w:rsid w:val="00431D6C"/>
    <w:rsid w:val="00475615"/>
    <w:rsid w:val="004F12DC"/>
    <w:rsid w:val="00513AC0"/>
    <w:rsid w:val="005675C6"/>
    <w:rsid w:val="005D725F"/>
    <w:rsid w:val="006406D5"/>
    <w:rsid w:val="006450AE"/>
    <w:rsid w:val="0069435E"/>
    <w:rsid w:val="006B11CF"/>
    <w:rsid w:val="007101DA"/>
    <w:rsid w:val="00765C75"/>
    <w:rsid w:val="007E1B62"/>
    <w:rsid w:val="00811564"/>
    <w:rsid w:val="0082715D"/>
    <w:rsid w:val="00860753"/>
    <w:rsid w:val="00886ACF"/>
    <w:rsid w:val="00895E6F"/>
    <w:rsid w:val="00910BDC"/>
    <w:rsid w:val="00977F70"/>
    <w:rsid w:val="009B26D4"/>
    <w:rsid w:val="009D4734"/>
    <w:rsid w:val="00A13FA4"/>
    <w:rsid w:val="00A244CD"/>
    <w:rsid w:val="00A70B40"/>
    <w:rsid w:val="00A75645"/>
    <w:rsid w:val="00AA59C4"/>
    <w:rsid w:val="00B7400E"/>
    <w:rsid w:val="00C031CF"/>
    <w:rsid w:val="00C2744F"/>
    <w:rsid w:val="00C63D9D"/>
    <w:rsid w:val="00CF0064"/>
    <w:rsid w:val="00D00404"/>
    <w:rsid w:val="00D14915"/>
    <w:rsid w:val="00D8143B"/>
    <w:rsid w:val="00E46853"/>
    <w:rsid w:val="00E703E0"/>
    <w:rsid w:val="00ED5EA6"/>
    <w:rsid w:val="00EE4E17"/>
    <w:rsid w:val="00F00D58"/>
    <w:rsid w:val="00F02E88"/>
    <w:rsid w:val="00F45D68"/>
    <w:rsid w:val="00FB5A28"/>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D4E87"/>
  <w15:docId w15:val="{4CA7B94D-4449-4EA9-B500-A0FFCC32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aliases w:val="Sub Title"/>
    <w:basedOn w:val="Normal"/>
    <w:next w:val="Normal"/>
    <w:link w:val="Heading2Char"/>
    <w:uiPriority w:val="9"/>
    <w:unhideWhenUsed/>
    <w:qFormat/>
    <w:rsid w:val="001157F9"/>
    <w:pPr>
      <w:spacing w:before="120" w:after="0" w:line="360" w:lineRule="auto"/>
      <w:outlineLvl w:val="1"/>
    </w:pPr>
    <w:rPr>
      <w:rFonts w:ascii="Calibri Light" w:eastAsia="Times New Roman" w:hAnsi="Calibri Light" w:cs="Times New Roman"/>
      <w:color w:val="C5516F"/>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A1A"/>
    <w:rPr>
      <w:sz w:val="16"/>
      <w:szCs w:val="16"/>
    </w:rPr>
  </w:style>
  <w:style w:type="paragraph" w:styleId="CommentText">
    <w:name w:val="annotation text"/>
    <w:basedOn w:val="Normal"/>
    <w:link w:val="CommentTextChar"/>
    <w:uiPriority w:val="99"/>
    <w:semiHidden/>
    <w:unhideWhenUsed/>
    <w:rsid w:val="00054A1A"/>
    <w:pPr>
      <w:spacing w:line="240" w:lineRule="auto"/>
    </w:pPr>
    <w:rPr>
      <w:sz w:val="20"/>
      <w:szCs w:val="20"/>
    </w:rPr>
  </w:style>
  <w:style w:type="character" w:customStyle="1" w:styleId="CommentTextChar">
    <w:name w:val="Comment Text Char"/>
    <w:basedOn w:val="DefaultParagraphFont"/>
    <w:link w:val="CommentText"/>
    <w:uiPriority w:val="99"/>
    <w:semiHidden/>
    <w:rsid w:val="00054A1A"/>
    <w:rPr>
      <w:sz w:val="20"/>
      <w:szCs w:val="20"/>
    </w:rPr>
  </w:style>
  <w:style w:type="paragraph" w:styleId="CommentSubject">
    <w:name w:val="annotation subject"/>
    <w:basedOn w:val="CommentText"/>
    <w:next w:val="CommentText"/>
    <w:link w:val="CommentSubjectChar"/>
    <w:uiPriority w:val="99"/>
    <w:semiHidden/>
    <w:unhideWhenUsed/>
    <w:rsid w:val="00054A1A"/>
    <w:rPr>
      <w:b/>
      <w:bCs/>
    </w:rPr>
  </w:style>
  <w:style w:type="character" w:customStyle="1" w:styleId="CommentSubjectChar">
    <w:name w:val="Comment Subject Char"/>
    <w:basedOn w:val="CommentTextChar"/>
    <w:link w:val="CommentSubject"/>
    <w:uiPriority w:val="99"/>
    <w:semiHidden/>
    <w:rsid w:val="00054A1A"/>
    <w:rPr>
      <w:b/>
      <w:bCs/>
      <w:sz w:val="20"/>
      <w:szCs w:val="20"/>
    </w:rPr>
  </w:style>
  <w:style w:type="paragraph" w:styleId="BalloonText">
    <w:name w:val="Balloon Text"/>
    <w:basedOn w:val="Normal"/>
    <w:link w:val="BalloonTextChar"/>
    <w:uiPriority w:val="99"/>
    <w:semiHidden/>
    <w:unhideWhenUsed/>
    <w:rsid w:val="00054A1A"/>
    <w:pPr>
      <w:spacing w:after="0" w:line="240" w:lineRule="auto"/>
    </w:pPr>
    <w:rPr>
      <w:rFonts w:ascii="Garamond" w:hAnsi="Garamond"/>
      <w:sz w:val="18"/>
      <w:szCs w:val="18"/>
    </w:rPr>
  </w:style>
  <w:style w:type="character" w:customStyle="1" w:styleId="BalloonTextChar">
    <w:name w:val="Balloon Text Char"/>
    <w:basedOn w:val="DefaultParagraphFont"/>
    <w:link w:val="BalloonText"/>
    <w:uiPriority w:val="99"/>
    <w:semiHidden/>
    <w:rsid w:val="00054A1A"/>
    <w:rPr>
      <w:rFonts w:ascii="Garamond" w:hAnsi="Garamond"/>
      <w:sz w:val="18"/>
      <w:szCs w:val="18"/>
    </w:rPr>
  </w:style>
  <w:style w:type="table" w:styleId="TableGrid">
    <w:name w:val="Table Grid"/>
    <w:basedOn w:val="TableNormal"/>
    <w:uiPriority w:val="59"/>
    <w:rsid w:val="003A00E1"/>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Sub Title Char"/>
    <w:basedOn w:val="DefaultParagraphFont"/>
    <w:link w:val="Heading2"/>
    <w:uiPriority w:val="9"/>
    <w:rsid w:val="001157F9"/>
    <w:rPr>
      <w:rFonts w:ascii="Calibri Light" w:eastAsia="Times New Roman" w:hAnsi="Calibri Light" w:cs="Times New Roman"/>
      <w:color w:val="C5516F"/>
      <w:sz w:val="30"/>
      <w:lang w:val="en-US"/>
    </w:rPr>
  </w:style>
  <w:style w:type="paragraph" w:styleId="ListParagraph">
    <w:name w:val="List Paragraph"/>
    <w:basedOn w:val="Normal"/>
    <w:uiPriority w:val="34"/>
    <w:qFormat/>
    <w:rsid w:val="0089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Linkins</dc:creator>
  <cp:keywords/>
  <dc:description/>
  <cp:lastModifiedBy>Sam Craigie</cp:lastModifiedBy>
  <cp:revision>8</cp:revision>
  <dcterms:created xsi:type="dcterms:W3CDTF">2018-03-16T16:08:00Z</dcterms:created>
  <dcterms:modified xsi:type="dcterms:W3CDTF">2018-09-13T18:32:00Z</dcterms:modified>
</cp:coreProperties>
</file>